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E7A802" w14:textId="77777777" w:rsidR="00AE784A" w:rsidRDefault="00AE784A" w:rsidP="00AE784A">
      <w:pPr>
        <w:rPr>
          <w:b/>
        </w:rPr>
      </w:pPr>
      <w:r>
        <w:rPr>
          <w:b/>
        </w:rPr>
        <w:t>Załącznik nr 1 do Procedury odbierania i przyprowadzania dzieci w Miejskim Przedszkolu nr 8 w Z</w:t>
      </w:r>
      <w:r w:rsidRPr="00AE784A">
        <w:rPr>
          <w:b/>
        </w:rPr>
        <w:t>gierzu</w:t>
      </w:r>
    </w:p>
    <w:p w14:paraId="7025177C" w14:textId="77777777" w:rsidR="00AE784A" w:rsidRPr="00AE784A" w:rsidRDefault="00AE784A" w:rsidP="00AE784A">
      <w:pPr>
        <w:rPr>
          <w:b/>
        </w:rPr>
      </w:pPr>
      <w:r>
        <w:rPr>
          <w:b/>
        </w:rPr>
        <w:t xml:space="preserve">dotyczy : </w:t>
      </w:r>
      <w:r w:rsidRPr="009C33C1">
        <w:rPr>
          <w:b/>
        </w:rPr>
        <w:t>postępowania w przypadku, gdy po dziecko zgłasza się ro</w:t>
      </w:r>
      <w:r w:rsidR="00732E5A">
        <w:rPr>
          <w:b/>
        </w:rPr>
        <w:t>dzic/opiekun podejrzany o działa</w:t>
      </w:r>
      <w:r w:rsidRPr="009C33C1">
        <w:rPr>
          <w:b/>
        </w:rPr>
        <w:t>nie pod wpływem alkoholu lub/i  innych środków odurzających</w:t>
      </w:r>
    </w:p>
    <w:p w14:paraId="5A02EA2E" w14:textId="77777777" w:rsidR="003176E6" w:rsidRPr="003176E6" w:rsidRDefault="003176E6" w:rsidP="003176E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76E6">
        <w:rPr>
          <w:sz w:val="24"/>
          <w:szCs w:val="24"/>
        </w:rPr>
        <w:t>Nauczyciel, który ma uzasadnione podejrzenia, że po dziecko zgłosił się rodzic/opiekun będący pod wpływem alkoholu/środków odurzających, ma prawo odmówić wydania dziecka</w:t>
      </w:r>
    </w:p>
    <w:p w14:paraId="3CDEC38C" w14:textId="77777777" w:rsidR="003176E6" w:rsidRDefault="003176E6" w:rsidP="003176E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76E6">
        <w:rPr>
          <w:sz w:val="24"/>
          <w:szCs w:val="24"/>
        </w:rPr>
        <w:t xml:space="preserve"> Nauczyciel zobowiązany jest dołożyć wszelkich starań, aby dziecko zostało odizolowane od rodzica i niezwłocznie powiad</w:t>
      </w:r>
      <w:r>
        <w:rPr>
          <w:sz w:val="24"/>
          <w:szCs w:val="24"/>
        </w:rPr>
        <w:t>amia o sytuacji dyrektora przedszkola.</w:t>
      </w:r>
    </w:p>
    <w:p w14:paraId="4900ADB9" w14:textId="77777777" w:rsidR="003176E6" w:rsidRDefault="003176E6" w:rsidP="003176E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76E6">
        <w:rPr>
          <w:sz w:val="24"/>
          <w:szCs w:val="24"/>
        </w:rPr>
        <w:t xml:space="preserve">Dyrektor ustala sposób dalszego postępowania. </w:t>
      </w:r>
    </w:p>
    <w:p w14:paraId="3A156035" w14:textId="77777777" w:rsidR="003176E6" w:rsidRDefault="003176E6" w:rsidP="003176E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Nauczyciel stara się skontaktować z drugim rodzicem.</w:t>
      </w:r>
    </w:p>
    <w:p w14:paraId="6118AE77" w14:textId="77777777" w:rsidR="003176E6" w:rsidRDefault="003176E6" w:rsidP="003176E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76E6">
        <w:rPr>
          <w:sz w:val="24"/>
          <w:szCs w:val="24"/>
        </w:rPr>
        <w:t xml:space="preserve">W przypadku braku kontaktu z drugim rodzicem/opiekunem, podejmuje próbę skontaktowania się z osobami wskazanymi przez rodziców w upoważnieniu do odbioru dziecka. </w:t>
      </w:r>
    </w:p>
    <w:p w14:paraId="0AE9E393" w14:textId="77777777" w:rsidR="003176E6" w:rsidRDefault="003176E6" w:rsidP="003176E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76E6">
        <w:rPr>
          <w:sz w:val="24"/>
          <w:szCs w:val="24"/>
        </w:rPr>
        <w:t xml:space="preserve">Dziecko odbiera drugi rodzic lub na podstawie ustaleń z rodzicami nauczyciel przekazuje dziecko osobie upoważnionej. W sytuacji, gdy rodzic lub upoważniona pisemnie osoba nie może odebrać dziecka, rodzic może jednorazowo wskazać (upoważnienie ustne) inną pełnoletnią osobę, podając jej dane. </w:t>
      </w:r>
      <w:r>
        <w:rPr>
          <w:sz w:val="24"/>
          <w:szCs w:val="24"/>
        </w:rPr>
        <w:t xml:space="preserve">Taką wolę powinien poświadczyć pisemnie mailowo lub SMS. Jeśli nie ma takiej możliwości wola wyrażona powinna być  przy  drugim nauczycielu ( pracowniku przedszkola) i sporządzona notatka służba. </w:t>
      </w:r>
      <w:r w:rsidRPr="003176E6">
        <w:rPr>
          <w:sz w:val="24"/>
          <w:szCs w:val="24"/>
        </w:rPr>
        <w:t xml:space="preserve">Osoba upoważniona w momencie odbioru dziecka powinna mieć przy sobie dowód osobisty i na żądanie nauczyciela okazać go. </w:t>
      </w:r>
    </w:p>
    <w:p w14:paraId="49CC37CC" w14:textId="77777777" w:rsidR="003176E6" w:rsidRDefault="003176E6" w:rsidP="003176E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76E6">
        <w:rPr>
          <w:sz w:val="24"/>
          <w:szCs w:val="24"/>
        </w:rPr>
        <w:t>Jeżeli nie ma możliwości kontaktu z drugim rodzicem lub osobą</w:t>
      </w:r>
      <w:r>
        <w:rPr>
          <w:sz w:val="24"/>
          <w:szCs w:val="24"/>
        </w:rPr>
        <w:t xml:space="preserve"> upoważnioną do odbioru dziecka, </w:t>
      </w:r>
      <w:r w:rsidRPr="003176E6">
        <w:rPr>
          <w:sz w:val="24"/>
          <w:szCs w:val="24"/>
        </w:rPr>
        <w:t xml:space="preserve">dyrektor podejmuje decyzję co do dalszego trybu postępowania z uwzględnieniem: decyzji o ponownej próbie skontaktowania się z osobami mogącymi odebrać dziecko; w tym czasie dziecko pozostaje pod opieką nauczyciela, w przypadku wyczerpania wszelkich możliwości odbioru dziecka przez rodzica lub osobę upoważnioną dyrektor podejmuje decyzję o zawiadomieniu policji, która przejmuje opiekę nad dzieckiem i postanawia o ewentualnym oddaniu dziecka pod opiekę innym członkom rodziny lub o umieszczeniu w placówce opiekuńczej. </w:t>
      </w:r>
    </w:p>
    <w:p w14:paraId="3A856C32" w14:textId="77777777" w:rsidR="003176E6" w:rsidRDefault="003176E6" w:rsidP="003176E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76E6">
        <w:rPr>
          <w:sz w:val="24"/>
          <w:szCs w:val="24"/>
        </w:rPr>
        <w:t>W przypadku agresywnego zachowania rodzica/opiekuna, nauczyciel natychmiast powiadamia policję (bez konsultacji z dyrektorem).</w:t>
      </w:r>
      <w:r>
        <w:rPr>
          <w:sz w:val="24"/>
          <w:szCs w:val="24"/>
        </w:rPr>
        <w:t xml:space="preserve">  O fakcie powiadamia policji informuje dyrektora przedszkola.</w:t>
      </w:r>
    </w:p>
    <w:p w14:paraId="2B9480E6" w14:textId="77777777" w:rsidR="003176E6" w:rsidRDefault="003176E6" w:rsidP="003176E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 przebiegu wydarzenia dyrektor wspólnie z nauczycielem uczestniczącym w wydarzeniu </w:t>
      </w:r>
      <w:r w:rsidRPr="003176E6">
        <w:rPr>
          <w:sz w:val="24"/>
          <w:szCs w:val="24"/>
        </w:rPr>
        <w:t>sporządza</w:t>
      </w:r>
      <w:r w:rsidR="009C33C1">
        <w:rPr>
          <w:sz w:val="24"/>
          <w:szCs w:val="24"/>
        </w:rPr>
        <w:t xml:space="preserve">ją </w:t>
      </w:r>
      <w:r w:rsidRPr="003176E6">
        <w:rPr>
          <w:sz w:val="24"/>
          <w:szCs w:val="24"/>
        </w:rPr>
        <w:t xml:space="preserve"> notatkę służbową</w:t>
      </w:r>
      <w:r w:rsidR="009C33C1">
        <w:rPr>
          <w:sz w:val="24"/>
          <w:szCs w:val="24"/>
        </w:rPr>
        <w:t>.</w:t>
      </w:r>
    </w:p>
    <w:p w14:paraId="7B21BD03" w14:textId="77777777" w:rsidR="009C33C1" w:rsidRPr="00AE784A" w:rsidRDefault="009C33C1" w:rsidP="00AE784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Dalsze postępowanie reguluje </w:t>
      </w:r>
      <w:r w:rsidR="00AE784A" w:rsidRPr="00AE784A">
        <w:rPr>
          <w:sz w:val="24"/>
          <w:szCs w:val="24"/>
        </w:rPr>
        <w:t>Polityka oraz procedury ochrony dzieci przed krzywdzeniem</w:t>
      </w:r>
      <w:r w:rsidR="00AE784A">
        <w:rPr>
          <w:sz w:val="24"/>
          <w:szCs w:val="24"/>
        </w:rPr>
        <w:t>.</w:t>
      </w:r>
    </w:p>
    <w:p w14:paraId="585D048A" w14:textId="77777777" w:rsidR="00AE784A" w:rsidRPr="00AE784A" w:rsidRDefault="00AE784A" w:rsidP="00AE784A">
      <w:pPr>
        <w:shd w:val="clear" w:color="auto" w:fill="FFFFFF"/>
        <w:spacing w:after="0" w:line="240" w:lineRule="auto"/>
        <w:ind w:left="360"/>
        <w:textAlignment w:val="baseline"/>
        <w:rPr>
          <w:rStyle w:val="Pogrubienie"/>
          <w:rFonts w:ascii="Arial" w:hAnsi="Arial" w:cs="Arial"/>
          <w:b w:val="0"/>
          <w:sz w:val="17"/>
          <w:szCs w:val="17"/>
        </w:rPr>
      </w:pPr>
      <w:r w:rsidRPr="00AE784A">
        <w:t>Podsta</w:t>
      </w:r>
      <w:r>
        <w:t>wa prawna:</w:t>
      </w:r>
      <w:r w:rsidRPr="00AE784A">
        <w:rPr>
          <w:rStyle w:val="Pogrubienie"/>
          <w:rFonts w:ascii="Lucida Sans Unicode" w:hAnsi="Lucida Sans Unicode" w:cs="Lucida Sans Unicode"/>
          <w:b w:val="0"/>
          <w:iCs/>
          <w:sz w:val="17"/>
          <w:szCs w:val="17"/>
          <w:bdr w:val="none" w:sz="0" w:space="0" w:color="auto" w:frame="1"/>
        </w:rPr>
        <w:t xml:space="preserve"> </w:t>
      </w:r>
    </w:p>
    <w:p w14:paraId="03840411" w14:textId="77777777" w:rsidR="00AE784A" w:rsidRPr="00AE784A" w:rsidRDefault="00AE784A" w:rsidP="00AE78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bCs/>
          <w:sz w:val="17"/>
          <w:szCs w:val="17"/>
        </w:rPr>
      </w:pPr>
      <w:r w:rsidRPr="00AE784A">
        <w:rPr>
          <w:rStyle w:val="Pogrubienie"/>
          <w:rFonts w:ascii="Lucida Sans Unicode" w:hAnsi="Lucida Sans Unicode" w:cs="Lucida Sans Unicode"/>
          <w:b w:val="0"/>
          <w:iCs/>
          <w:sz w:val="17"/>
          <w:szCs w:val="17"/>
          <w:bdr w:val="none" w:sz="0" w:space="0" w:color="auto" w:frame="1"/>
        </w:rPr>
        <w:t>Ustawa z dnia 26 października 1982 r. o wychowaniu w trzeźwości i przeciwdziałaniu</w:t>
      </w:r>
      <w:r w:rsidRPr="00AE784A">
        <w:rPr>
          <w:rFonts w:ascii="Lucida Sans Unicode" w:hAnsi="Lucida Sans Unicode" w:cs="Lucida Sans Unicode"/>
          <w:bCs/>
          <w:sz w:val="17"/>
          <w:szCs w:val="17"/>
          <w:bdr w:val="none" w:sz="0" w:space="0" w:color="auto" w:frame="1"/>
        </w:rPr>
        <w:t> </w:t>
      </w:r>
      <w:r w:rsidRPr="00AE784A">
        <w:rPr>
          <w:rStyle w:val="Pogrubienie"/>
          <w:rFonts w:ascii="Lucida Sans Unicode" w:hAnsi="Lucida Sans Unicode" w:cs="Lucida Sans Unicode"/>
          <w:b w:val="0"/>
          <w:iCs/>
          <w:sz w:val="17"/>
          <w:szCs w:val="17"/>
          <w:bdr w:val="none" w:sz="0" w:space="0" w:color="auto" w:frame="1"/>
        </w:rPr>
        <w:t>alkoholizmowi </w:t>
      </w:r>
      <w:r w:rsidRPr="00AE784A">
        <w:rPr>
          <w:rStyle w:val="Pogrubienie"/>
          <w:rFonts w:ascii="Lucida Sans Unicode" w:hAnsi="Lucida Sans Unicode" w:cs="Lucida Sans Unicode"/>
          <w:b w:val="0"/>
          <w:sz w:val="17"/>
          <w:szCs w:val="17"/>
          <w:bdr w:val="none" w:sz="0" w:space="0" w:color="auto" w:frame="1"/>
        </w:rPr>
        <w:t>(t. j. Dz. U. z 2007 r. Nr 70 poz. 473 ze zm.),</w:t>
      </w:r>
    </w:p>
    <w:p w14:paraId="7A9CC329" w14:textId="77777777" w:rsidR="00AE784A" w:rsidRPr="00AE784A" w:rsidRDefault="00AE784A" w:rsidP="00AE78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bCs/>
          <w:sz w:val="17"/>
          <w:szCs w:val="17"/>
        </w:rPr>
      </w:pPr>
      <w:r w:rsidRPr="00AE784A">
        <w:rPr>
          <w:rStyle w:val="Pogrubienie"/>
          <w:rFonts w:ascii="Lucida Sans Unicode" w:hAnsi="Lucida Sans Unicode" w:cs="Lucida Sans Unicode"/>
          <w:b w:val="0"/>
          <w:iCs/>
          <w:sz w:val="17"/>
          <w:szCs w:val="17"/>
          <w:bdr w:val="none" w:sz="0" w:space="0" w:color="auto" w:frame="1"/>
        </w:rPr>
        <w:lastRenderedPageBreak/>
        <w:t>Ustawa z dnia 6 czerwca 1997 r. Kodeks karny </w:t>
      </w:r>
      <w:r w:rsidRPr="00AE784A">
        <w:rPr>
          <w:rStyle w:val="Pogrubienie"/>
          <w:rFonts w:ascii="Lucida Sans Unicode" w:hAnsi="Lucida Sans Unicode" w:cs="Lucida Sans Unicode"/>
          <w:b w:val="0"/>
          <w:sz w:val="17"/>
          <w:szCs w:val="17"/>
          <w:bdr w:val="none" w:sz="0" w:space="0" w:color="auto" w:frame="1"/>
        </w:rPr>
        <w:t>(Dz.U. z 1997 r. Nr 88 poz. 553 ze zm.),</w:t>
      </w:r>
    </w:p>
    <w:p w14:paraId="6AF7E491" w14:textId="77777777" w:rsidR="00AE784A" w:rsidRPr="00AE784A" w:rsidRDefault="00AE784A" w:rsidP="00AE78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bCs/>
          <w:sz w:val="17"/>
          <w:szCs w:val="17"/>
        </w:rPr>
      </w:pPr>
      <w:r w:rsidRPr="00AE784A">
        <w:rPr>
          <w:rStyle w:val="Pogrubienie"/>
          <w:rFonts w:ascii="Lucida Sans Unicode" w:hAnsi="Lucida Sans Unicode" w:cs="Lucida Sans Unicode"/>
          <w:b w:val="0"/>
          <w:iCs/>
          <w:sz w:val="17"/>
          <w:szCs w:val="17"/>
          <w:bdr w:val="none" w:sz="0" w:space="0" w:color="auto" w:frame="1"/>
        </w:rPr>
        <w:t>Ustawa z dnia 17 listopada 1964 r. Kodeks postępowania cywilnego </w:t>
      </w:r>
      <w:r w:rsidRPr="00AE784A">
        <w:rPr>
          <w:rStyle w:val="Pogrubienie"/>
          <w:rFonts w:ascii="Lucida Sans Unicode" w:hAnsi="Lucida Sans Unicode" w:cs="Lucida Sans Unicode"/>
          <w:b w:val="0"/>
          <w:sz w:val="17"/>
          <w:szCs w:val="17"/>
          <w:bdr w:val="none" w:sz="0" w:space="0" w:color="auto" w:frame="1"/>
        </w:rPr>
        <w:t>(Dz. U. z 1964 r. Nr 43 poz.296 ze zm.),</w:t>
      </w:r>
    </w:p>
    <w:p w14:paraId="43088570" w14:textId="77777777" w:rsidR="00AE784A" w:rsidRDefault="00732E5A" w:rsidP="00AE78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</w:pPr>
      <w:r w:rsidRPr="00AE784A">
        <w:rPr>
          <w:rStyle w:val="Uwydatnienie"/>
          <w:rFonts w:ascii="Lucida Sans Unicode" w:hAnsi="Lucida Sans Unicode" w:cs="Lucida Sans Unicode"/>
          <w:bCs/>
          <w:i w:val="0"/>
          <w:sz w:val="17"/>
          <w:szCs w:val="17"/>
          <w:bdr w:val="none" w:sz="0" w:space="0" w:color="auto" w:frame="1"/>
        </w:rPr>
        <w:t xml:space="preserve"> </w:t>
      </w:r>
      <w:r w:rsidR="00AE784A" w:rsidRPr="00AE784A">
        <w:rPr>
          <w:rStyle w:val="Uwydatnienie"/>
          <w:rFonts w:ascii="Lucida Sans Unicode" w:hAnsi="Lucida Sans Unicode" w:cs="Lucida Sans Unicode"/>
          <w:bCs/>
          <w:i w:val="0"/>
          <w:sz w:val="17"/>
          <w:szCs w:val="17"/>
          <w:bdr w:val="none" w:sz="0" w:space="0" w:color="auto" w:frame="1"/>
        </w:rPr>
        <w:t xml:space="preserve">„Polityka ochrony dzieci przed krzywdzeniem” – dokument </w:t>
      </w:r>
      <w:r w:rsidR="00AE784A">
        <w:rPr>
          <w:rStyle w:val="Uwydatnienie"/>
          <w:rFonts w:ascii="Lucida Sans Unicode" w:hAnsi="Lucida Sans Unicode" w:cs="Lucida Sans Unicode"/>
          <w:bCs/>
          <w:i w:val="0"/>
          <w:sz w:val="17"/>
          <w:szCs w:val="17"/>
          <w:bdr w:val="none" w:sz="0" w:space="0" w:color="auto" w:frame="1"/>
        </w:rPr>
        <w:t>Miejskiego przedszkola nr 8 w Zgierzu</w:t>
      </w:r>
    </w:p>
    <w:p w14:paraId="38F3EFC8" w14:textId="77777777" w:rsidR="00AE784A" w:rsidRPr="00AE784A" w:rsidRDefault="00AE784A">
      <w:pPr>
        <w:pStyle w:val="Akapitzlist"/>
        <w:rPr>
          <w:sz w:val="24"/>
          <w:szCs w:val="24"/>
        </w:rPr>
      </w:pPr>
    </w:p>
    <w:sectPr w:rsidR="00AE784A" w:rsidRPr="00AE784A" w:rsidSect="00C34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F507AC"/>
    <w:multiLevelType w:val="hybridMultilevel"/>
    <w:tmpl w:val="B54A6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9203A"/>
    <w:multiLevelType w:val="multilevel"/>
    <w:tmpl w:val="0712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643F24"/>
    <w:multiLevelType w:val="multilevel"/>
    <w:tmpl w:val="2904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9518627">
    <w:abstractNumId w:val="0"/>
  </w:num>
  <w:num w:numId="2" w16cid:durableId="1051266418">
    <w:abstractNumId w:val="1"/>
  </w:num>
  <w:num w:numId="3" w16cid:durableId="1352610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E6"/>
    <w:rsid w:val="00163EAC"/>
    <w:rsid w:val="003176E6"/>
    <w:rsid w:val="00732E5A"/>
    <w:rsid w:val="008736E2"/>
    <w:rsid w:val="009C33C1"/>
    <w:rsid w:val="00AE784A"/>
    <w:rsid w:val="00C349CA"/>
    <w:rsid w:val="00C9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CB19"/>
  <w15:docId w15:val="{A315DFE0-66D2-4C81-8675-2F0E3336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6E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E784A"/>
    <w:rPr>
      <w:i/>
      <w:iCs/>
    </w:rPr>
  </w:style>
  <w:style w:type="character" w:styleId="Pogrubienie">
    <w:name w:val="Strong"/>
    <w:basedOn w:val="Domylnaczcionkaakapitu"/>
    <w:uiPriority w:val="22"/>
    <w:qFormat/>
    <w:rsid w:val="00AE7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01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Michalska</dc:creator>
  <cp:lastModifiedBy>Jolanta Łęcz</cp:lastModifiedBy>
  <cp:revision>2</cp:revision>
  <dcterms:created xsi:type="dcterms:W3CDTF">2024-06-05T10:43:00Z</dcterms:created>
  <dcterms:modified xsi:type="dcterms:W3CDTF">2024-06-05T10:43:00Z</dcterms:modified>
</cp:coreProperties>
</file>